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94D" w:rsidRDefault="00D0294D" w:rsidP="00D0294D">
      <w:pPr>
        <w:shd w:val="clear" w:color="auto" w:fill="808080"/>
        <w:spacing w:before="60" w:after="60"/>
        <w:outlineLvl w:val="0"/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  <w:color w:val="FFFFFF"/>
          <w:spacing w:val="40"/>
          <w:sz w:val="18"/>
          <w:szCs w:val="18"/>
        </w:rPr>
        <w:t>ANEXO II</w:t>
      </w:r>
      <w:r w:rsidRPr="00F27E85">
        <w:t xml:space="preserve"> </w:t>
      </w:r>
      <w:r w:rsidRPr="00F27E85">
        <w:rPr>
          <w:rFonts w:ascii="Cambria" w:hAnsi="Cambria" w:cs="Arial"/>
          <w:b/>
          <w:sz w:val="16"/>
          <w:szCs w:val="16"/>
          <w:lang w:val="es-ES_tradnl"/>
        </w:rPr>
        <w:t>CONDICIONES ESPECÍFICAS PARA LA EJECUCIÓN DE LA INVERSIÓN C15.I</w:t>
      </w:r>
      <w:r>
        <w:rPr>
          <w:rFonts w:ascii="Cambria" w:hAnsi="Cambria" w:cs="Arial"/>
          <w:b/>
          <w:sz w:val="16"/>
          <w:szCs w:val="16"/>
          <w:lang w:val="es-ES_tradnl"/>
        </w:rPr>
        <w:t>4</w:t>
      </w:r>
    </w:p>
    <w:p w:rsidR="00D0294D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Cambria" w:eastAsia="Times New Roman" w:hAnsi="Cambria" w:cs="Arial"/>
          <w:lang w:eastAsia="es-ES"/>
        </w:rPr>
      </w:pPr>
      <w:r w:rsidRPr="00E8530D">
        <w:rPr>
          <w:rFonts w:ascii="Cambria" w:eastAsia="Times New Roman" w:hAnsi="Cambria" w:cs="Arial"/>
          <w:lang w:eastAsia="es-ES"/>
        </w:rPr>
        <w:t xml:space="preserve">– Los equipos que se utilicen cumplirán con los requisitos relacionados con el consumo energético establecidos de acuerdo con la Directiva 2009/125/CE del Parlamento Europeo y del Consejo, de 21 de octubre de 2009, por la que se instaura un marco para el </w:t>
      </w:r>
      <w:r>
        <w:rPr>
          <w:rFonts w:ascii="Cambria" w:eastAsia="Times New Roman" w:hAnsi="Cambria" w:cs="Arial"/>
          <w:lang w:eastAsia="es-ES"/>
        </w:rPr>
        <w:t xml:space="preserve">instalador </w:t>
      </w:r>
      <w:r w:rsidRPr="00E8530D">
        <w:rPr>
          <w:rFonts w:ascii="Cambria" w:eastAsia="Times New Roman" w:hAnsi="Cambria" w:cs="Arial"/>
          <w:lang w:eastAsia="es-ES"/>
        </w:rPr>
        <w:t>de requisitos de diseño ecológico aplicables a los productos relacionados con la energía, para servidores y almacenamiento de datos, o computadoras y servidores de computadoras o pantallas electrónicas. Para la instalación de las infraestructuras IT, se seguirá la ver</w:t>
      </w:r>
      <w:bookmarkStart w:id="0" w:name="_GoBack"/>
      <w:bookmarkEnd w:id="0"/>
      <w:r w:rsidRPr="00E8530D">
        <w:rPr>
          <w:rFonts w:ascii="Cambria" w:eastAsia="Times New Roman" w:hAnsi="Cambria" w:cs="Arial"/>
          <w:lang w:eastAsia="es-ES"/>
        </w:rPr>
        <w:t xml:space="preserve">sión más reciente del Código de conducta europeo sobre eficiencia energética de centros de datos, o en el documento CEN-CENELEC CLC TR50600-99-1 Instalaciones e infraestructuras de centros de datos - Parte 99-1: Prácticas recomendadas para la gestión energética. </w:t>
      </w:r>
    </w:p>
    <w:p w:rsidR="00D0294D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Cambria" w:eastAsia="Times New Roman" w:hAnsi="Cambria" w:cs="Arial"/>
          <w:lang w:eastAsia="es-ES"/>
        </w:rPr>
      </w:pPr>
      <w:r w:rsidRPr="00E8530D">
        <w:rPr>
          <w:rFonts w:ascii="Cambria" w:eastAsia="Times New Roman" w:hAnsi="Cambria" w:cs="Arial"/>
          <w:lang w:eastAsia="es-ES"/>
        </w:rPr>
        <w:t xml:space="preserve">– Se realizará una evaluación del riesgo climático y la vulnerabilidad de las instalaciones de infraestructuras IT y en su caso, se establecerán las soluciones de adaptación adecuadas para cada caso. </w:t>
      </w:r>
    </w:p>
    <w:p w:rsidR="00D0294D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Cambria" w:eastAsia="Times New Roman" w:hAnsi="Cambria" w:cs="Arial"/>
          <w:lang w:eastAsia="es-ES"/>
        </w:rPr>
      </w:pPr>
      <w:r w:rsidRPr="00E8530D">
        <w:rPr>
          <w:rFonts w:ascii="Cambria" w:eastAsia="Times New Roman" w:hAnsi="Cambria" w:cs="Arial"/>
          <w:lang w:eastAsia="es-ES"/>
        </w:rPr>
        <w:t xml:space="preserve">– Los riesgos de degradación ambiental relacionados con la conservación de la calidad del agua y la prevención del estrés hídrico se identificarán y abordarán con el objetivo de lograr un buen estado del agua y un buen potencial ecológico, tal como se define en el artículo 2, puntos 22 y 23, del Reglamento (UE) 2020/852, del Parlamento Europeo y del Consejo, de 18 de junio de 2020, relativo al </w:t>
      </w:r>
      <w:r>
        <w:rPr>
          <w:rFonts w:ascii="Cambria" w:eastAsia="Times New Roman" w:hAnsi="Cambria" w:cs="Arial"/>
          <w:lang w:eastAsia="es-ES"/>
        </w:rPr>
        <w:t xml:space="preserve">instalador </w:t>
      </w:r>
      <w:r w:rsidRPr="00E8530D">
        <w:rPr>
          <w:rFonts w:ascii="Cambria" w:eastAsia="Times New Roman" w:hAnsi="Cambria" w:cs="Arial"/>
          <w:lang w:eastAsia="es-ES"/>
        </w:rPr>
        <w:t xml:space="preserve">de un marco para facilitar las inversiones sostenibles y por el que se modifica el Reglamento (UE) 2019/2088, de conformidad con la Directiva 2000/60/CE del Parlamento Europeo y del Consejo, de 23 de octubre de 2000, y un plan de gestión del uso y la protección del agua, desarrollado en virtud de la misma para la masa o masas de agua potencialmente afectadas, en consulta con las partes interesadas pertinentes. Se incluirá como requisito de implementación de las actuaciones incluidas en esta medida no se van a realizar infraestructuras que puedan alterar la hidrología. </w:t>
      </w:r>
    </w:p>
    <w:p w:rsidR="00D0294D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Cambria" w:eastAsia="Times New Roman" w:hAnsi="Cambria" w:cs="Arial"/>
          <w:lang w:eastAsia="es-ES"/>
        </w:rPr>
      </w:pPr>
      <w:r w:rsidRPr="00E8530D">
        <w:rPr>
          <w:rFonts w:ascii="Cambria" w:eastAsia="Times New Roman" w:hAnsi="Cambria" w:cs="Arial"/>
          <w:lang w:eastAsia="es-ES"/>
        </w:rPr>
        <w:t xml:space="preserve">– Los equipos utilizados cumplirán con los requisitos de eficiencia de materiales establecidos de acuerdo con la Directiva 2009/125/CE del Parlamento Europeo y del Consejo, de 21 de octubre de 2009, para servidores y almacenamiento de datos, u ordenadores y servidores de ordenadores o pantallas electrónicas. Los equipos no contendrán las sustancias restringidas enumeradas en el anexo II de la Directiva 2011/65/UE, del Parlamento Europeo y del Consejo, de 8 de junio de 2011, sobre restricciones a la utilización de determinadas sustancias peligrosas en aparatos eléctricos y electrónicos, excepto cuando los valores de concentración en peso en materiales homogéneos no superen los enumerados en dicho anexo. Al final de su vida útil, el equipo se someterá a una preparación para operaciones de reutilización, recuperación o reciclaje, o un tratamiento adecuado, incluida la eliminación de todos los fluidos y un tratamiento selectivo de acuerdo con el anexo VII de la Directiva 2012/19/UE del Parlamento Europeo y del Consejo, de 4 de julio de 2012, sobre residuos de aparatos eléctricos y electrónicos (RAEE). </w:t>
      </w:r>
    </w:p>
    <w:p w:rsidR="00D0294D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Cambria" w:eastAsia="Times New Roman" w:hAnsi="Cambria" w:cs="Arial"/>
          <w:lang w:eastAsia="es-ES"/>
        </w:rPr>
      </w:pPr>
      <w:r w:rsidRPr="00E8530D">
        <w:rPr>
          <w:rFonts w:ascii="Cambria" w:eastAsia="Times New Roman" w:hAnsi="Cambria" w:cs="Arial"/>
          <w:lang w:eastAsia="es-ES"/>
        </w:rPr>
        <w:t xml:space="preserve">– Al menos el 70 por ciento (en peso) de los residuos de construcción y demolición no peligrosos (excluido el material natural mencionado en la categoría 17 05 04 en la Lista europea de residuos establecida por la Decisión 2000/532/EC) generados, en las actuaciones previstas en esta inversión, será preparado para su reutilización, reciclaje y </w:t>
      </w:r>
      <w:r w:rsidRPr="00E8530D">
        <w:rPr>
          <w:rFonts w:ascii="Cambria" w:eastAsia="Times New Roman" w:hAnsi="Cambria" w:cs="Arial"/>
          <w:lang w:eastAsia="es-ES"/>
        </w:rPr>
        <w:lastRenderedPageBreak/>
        <w:t xml:space="preserve">recuperación de otros materiales, incluidas las operaciones de relleno utilizando residuos para sustituir otros materiales, de acuerdo con la jerarquía de residuos y el Protocolo de gestión de residuos de construcción y demolición de la UE. </w:t>
      </w:r>
    </w:p>
    <w:p w:rsidR="00D0294D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Cambria" w:eastAsia="Times New Roman" w:hAnsi="Cambria" w:cs="Arial"/>
          <w:lang w:eastAsia="es-ES"/>
        </w:rPr>
      </w:pPr>
      <w:r w:rsidRPr="00E8530D">
        <w:rPr>
          <w:rFonts w:ascii="Cambria" w:eastAsia="Times New Roman" w:hAnsi="Cambria" w:cs="Arial"/>
          <w:lang w:eastAsia="es-ES"/>
        </w:rPr>
        <w:t xml:space="preserve">– Los agentes encargados de la construcción de las infraestructuras IT limitarán la generación de residuos en los procesos relacionados con la construcción y demolición, de conformidad con el Protocolo de gestión de residuos de construcción y demolición de la UE y teniendo en cuenta las mejores técnicas disponibles y utilizando la demolición selectiva para permitir la eliminación y manipulación segura de sustancias peligrosas y facilitar la reutilización y reciclaje de alta calidad mediante la eliminación selectiva de materiales, utilizando los sistemas de clasificación disponibles para residuos de construcción y demolición. </w:t>
      </w:r>
    </w:p>
    <w:p w:rsidR="00D0294D" w:rsidRPr="005F29E3" w:rsidRDefault="00D0294D" w:rsidP="00D0294D">
      <w:pPr>
        <w:autoSpaceDE w:val="0"/>
        <w:autoSpaceDN w:val="0"/>
        <w:adjustRightInd w:val="0"/>
        <w:spacing w:before="120" w:after="120"/>
        <w:jc w:val="both"/>
        <w:rPr>
          <w:rFonts w:ascii="Arial" w:hAnsi="Arial" w:cs="Arial"/>
        </w:rPr>
      </w:pPr>
      <w:r w:rsidRPr="00E8530D">
        <w:rPr>
          <w:rFonts w:ascii="Cambria" w:eastAsia="Times New Roman" w:hAnsi="Cambria" w:cs="Arial"/>
          <w:lang w:eastAsia="es-ES"/>
        </w:rPr>
        <w:t>– Los diseños de los edificios y las técnicas de construcción apoyarán la circularidad en lo referido a la norma ISO 20887 para evaluar la capacidad de desmontaje o adaptabilidad de los edificios, cómo estos están diseñados para ser más eficientes en el uso de los recursos, adaptables, flexibles y desmontables para permitir la reutilización y el reciclaje</w:t>
      </w:r>
      <w:r>
        <w:rPr>
          <w:rFonts w:ascii="Cambria" w:eastAsia="Times New Roman" w:hAnsi="Cambria" w:cs="Arial"/>
          <w:lang w:eastAsia="es-ES"/>
        </w:rPr>
        <w:t>.</w:t>
      </w:r>
    </w:p>
    <w:p w:rsidR="00ED49D5" w:rsidRDefault="00ED49D5"/>
    <w:sectPr w:rsidR="00ED49D5" w:rsidSect="00770667">
      <w:headerReference w:type="default" r:id="rId6"/>
      <w:pgSz w:w="11906" w:h="16838"/>
      <w:pgMar w:top="2254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021E" w:rsidRDefault="00CD021E" w:rsidP="00D0294D">
      <w:pPr>
        <w:spacing w:after="0" w:line="240" w:lineRule="auto"/>
      </w:pPr>
      <w:r>
        <w:separator/>
      </w:r>
    </w:p>
  </w:endnote>
  <w:endnote w:type="continuationSeparator" w:id="0">
    <w:p w:rsidR="00CD021E" w:rsidRDefault="00CD021E" w:rsidP="00D0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021E" w:rsidRDefault="00CD021E" w:rsidP="00D0294D">
      <w:pPr>
        <w:spacing w:after="0" w:line="240" w:lineRule="auto"/>
      </w:pPr>
      <w:r>
        <w:separator/>
      </w:r>
    </w:p>
  </w:footnote>
  <w:footnote w:type="continuationSeparator" w:id="0">
    <w:p w:rsidR="00CD021E" w:rsidRDefault="00CD021E" w:rsidP="00D0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94D" w:rsidRDefault="00770667" w:rsidP="00733525">
    <w:pPr>
      <w:pStyle w:val="Encabezado"/>
      <w:tabs>
        <w:tab w:val="clear" w:pos="4252"/>
        <w:tab w:val="center" w:pos="3686"/>
      </w:tabs>
    </w:pPr>
    <w:r>
      <w:rPr>
        <w:noProof/>
        <w:lang w:eastAsia="es-ES"/>
      </w:rPr>
      <w:drawing>
        <wp:inline distT="0" distB="0" distL="0" distR="0" wp14:anchorId="37F45199" wp14:editId="32EB3AB7">
          <wp:extent cx="5398770" cy="946150"/>
          <wp:effectExtent l="0" t="0" r="0" b="6350"/>
          <wp:docPr id="3" name="Imagen 3" descr="logo MRR sin CT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RR sin CT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946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294D" w:rsidRDefault="00D0294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94D"/>
    <w:rsid w:val="006004FD"/>
    <w:rsid w:val="00770667"/>
    <w:rsid w:val="00CD021E"/>
    <w:rsid w:val="00D0294D"/>
    <w:rsid w:val="00ED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C8E763C-6C0E-4214-90D8-68DF43F41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94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294D"/>
  </w:style>
  <w:style w:type="paragraph" w:styleId="Piedepgina">
    <w:name w:val="footer"/>
    <w:basedOn w:val="Normal"/>
    <w:link w:val="PiedepginaCar"/>
    <w:uiPriority w:val="99"/>
    <w:unhideWhenUsed/>
    <w:rsid w:val="00D0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2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731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Caballero</dc:creator>
  <cp:keywords/>
  <dc:description/>
  <cp:lastModifiedBy>García Gómez María Ángeles</cp:lastModifiedBy>
  <cp:revision>2</cp:revision>
  <dcterms:created xsi:type="dcterms:W3CDTF">2022-02-24T11:33:00Z</dcterms:created>
  <dcterms:modified xsi:type="dcterms:W3CDTF">2022-04-21T08:19:00Z</dcterms:modified>
</cp:coreProperties>
</file>